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 w:eastAsia="仿宋_GB2312" w:cs="仿宋"/>
          <w:sz w:val="32"/>
          <w:szCs w:val="32"/>
          <w:highlight w:val="none"/>
          <w:lang w:val="en-US" w:eastAsia="zh-CN"/>
        </w:rPr>
      </w:pPr>
      <w:r>
        <w:rPr>
          <w:rFonts w:hint="eastAsia" w:ascii="方正小标宋简体" w:hAnsi="宋体" w:eastAsia="方正小标宋简体" w:cs="宋体"/>
          <w:bCs/>
          <w:kern w:val="0"/>
          <w:sz w:val="44"/>
          <w:szCs w:val="44"/>
          <w:lang w:val="en-US" w:eastAsia="zh-CN"/>
        </w:rPr>
        <w:t>关于做好迎接</w:t>
      </w:r>
      <w:r>
        <w:rPr>
          <w:rFonts w:hint="eastAsia" w:ascii="方正小标宋简体" w:hAnsi="宋体" w:eastAsia="方正小标宋简体" w:cs="宋体"/>
          <w:bCs/>
          <w:kern w:val="0"/>
          <w:sz w:val="44"/>
          <w:szCs w:val="44"/>
        </w:rPr>
        <w:t>学生公寓消防安全专项检</w:t>
      </w:r>
      <w:r>
        <w:rPr>
          <w:rFonts w:hint="eastAsia" w:ascii="方正小标宋简体" w:hAnsi="宋体" w:eastAsia="方正小标宋简体" w:cs="宋体"/>
          <w:bCs/>
          <w:kern w:val="0"/>
          <w:sz w:val="44"/>
          <w:szCs w:val="44"/>
          <w:lang w:val="en-US" w:eastAsia="zh-CN"/>
        </w:rPr>
        <w:t>查工作的通知</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各有关单位：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根据《关于开展在徐高校、职业学校、技工院校学生公寓消防安全专项大排查大整治的紧急通知》（徐委教〔2022〕6号）文件精神，徐州市成立由教育、公安、消防等部门参加的联合检查组，对在徐高校开展学生公寓消防安全专项检查，现就做好迎接学生公寓消防安全专项检查工作有关事项通知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一、检查时间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1.第一阶段：学院、有关职能部门自查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2022年4月29日-5月4日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2.第二阶段：徐州市检查组到校随机检查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2022年5月6日上午</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黑体" w:hAnsi="黑体" w:eastAsia="黑体" w:cs="黑体"/>
          <w:sz w:val="32"/>
          <w:szCs w:val="32"/>
          <w:highlight w:val="none"/>
          <w:lang w:val="en-US" w:eastAsia="zh-CN"/>
        </w:rPr>
        <w:t>二、检查主要内容及牵头分工</w:t>
      </w:r>
      <w:r>
        <w:rPr>
          <w:rFonts w:hint="eastAsia" w:ascii="仿宋_GB2312" w:hAnsi="仿宋" w:eastAsia="仿宋_GB2312" w:cs="仿宋"/>
          <w:sz w:val="32"/>
          <w:szCs w:val="32"/>
          <w:highlight w:val="none"/>
          <w:lang w:val="en-US" w:eastAsia="zh-CN"/>
        </w:rPr>
        <w:t>（见附件1）</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三、工作要求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1.请各学院按照“管业务必须管安全”原则，认真落实安全主体责任，结合正在开展的学生公寓卫生大扫除活动，立即组织开展所属学生公寓全覆盖的消防安全专项自查，重点对应急疏散方法与应急救援预案的制定、网格化安全管理体系的建立、学生公寓用电、违章使用电器、学生公寓日常安全检查情况、安全宣传教育情况等方面进行全面排查，确保所属学生公寓全部排查到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请各学院按照工作分工（见附件1）整理汇总近一年相关工作台账，重点是学生公寓应急疏散方法与应急救援预案、单位安全员及重点部位安全员名单（表格样式见附件2）、班级安全委员名单（表格样式见附件2）、学生公寓日常安全检查记录，于5月4日17:00前报保卫处。（相关电子档请发送至bwc@cumt.edu.cn）徐州市检查组将以学院为单位检查工作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3.请各职能部门按照“管业务必须管安全”原则，根据部门职责开展学生公寓消防安全自查，并按照工作分工（见附件1）整理汇总近一年相关工作台账，于5月4日17:00前报保卫处。（相关电子档请发送至bwc@cumt.edu.cn）徐州市检查组将按照部门职责分工检查工作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4.请各有关单位做好5月6日上午迎接徐州市高校学生公寓消防安全专项检查准备。请各单位确定一名工作人员配合检查日当天现场检查工作，人员名单及联系电话同工作台账一并报送（见附件2）。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联系人：王锐、瞿望；联系电话：83590119</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工作台账报送地点：南湖体育馆B128</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 xml:space="preserve">                                保卫处</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2022年4月29日</w:t>
      </w: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 w:eastAsia="仿宋_GB2312" w:cs="仿宋"/>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附件1</w:t>
      </w:r>
    </w:p>
    <w:p>
      <w:pPr>
        <w:jc w:val="center"/>
        <w:rPr>
          <w:rFonts w:hint="default" w:ascii="方正小标宋简体" w:hAnsi="宋体" w:eastAsia="方正小标宋简体" w:cs="宋体"/>
          <w:bCs/>
          <w:kern w:val="0"/>
          <w:sz w:val="44"/>
          <w:szCs w:val="44"/>
          <w:lang w:val="en-US" w:eastAsia="zh-CN"/>
        </w:rPr>
      </w:pPr>
      <w:r>
        <w:rPr>
          <w:rFonts w:hint="eastAsia" w:ascii="方正小标宋简体" w:hAnsi="宋体" w:eastAsia="方正小标宋简体" w:cs="宋体"/>
          <w:bCs/>
          <w:kern w:val="0"/>
          <w:sz w:val="44"/>
          <w:szCs w:val="44"/>
          <w:lang w:val="en-US" w:eastAsia="zh-CN"/>
        </w:rPr>
        <w:t>徐州市</w:t>
      </w:r>
      <w:r>
        <w:rPr>
          <w:rFonts w:hint="eastAsia" w:ascii="方正小标宋简体" w:hAnsi="宋体" w:eastAsia="方正小标宋简体" w:cs="宋体"/>
          <w:bCs/>
          <w:kern w:val="0"/>
          <w:sz w:val="44"/>
          <w:szCs w:val="44"/>
        </w:rPr>
        <w:t>高校学生公寓消防安全专项检查</w:t>
      </w:r>
      <w:r>
        <w:rPr>
          <w:rFonts w:hint="eastAsia" w:ascii="方正小标宋简体" w:hAnsi="宋体" w:eastAsia="方正小标宋简体" w:cs="宋体"/>
          <w:bCs/>
          <w:kern w:val="0"/>
          <w:sz w:val="44"/>
          <w:szCs w:val="44"/>
          <w:lang w:val="en-US" w:eastAsia="zh-CN"/>
        </w:rPr>
        <w:t>内容及工作分工</w:t>
      </w:r>
    </w:p>
    <w:tbl>
      <w:tblPr>
        <w:tblStyle w:val="3"/>
        <w:tblW w:w="14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17"/>
        <w:gridCol w:w="6485"/>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tcPr>
          <w:p>
            <w:pPr>
              <w:jc w:val="center"/>
              <w:rPr>
                <w:rFonts w:hint="eastAsia" w:ascii="仿宋" w:hAnsi="仿宋" w:eastAsia="仿宋" w:cs="仿宋"/>
                <w:b/>
                <w:bCs w:val="0"/>
                <w:kern w:val="0"/>
                <w:sz w:val="28"/>
                <w:szCs w:val="28"/>
                <w:vertAlign w:val="baseline"/>
                <w:lang w:val="en-US" w:eastAsia="zh-CN"/>
              </w:rPr>
            </w:pPr>
            <w:r>
              <w:rPr>
                <w:rFonts w:hint="eastAsia" w:ascii="仿宋" w:hAnsi="仿宋" w:eastAsia="仿宋" w:cs="仿宋"/>
                <w:b/>
                <w:bCs w:val="0"/>
                <w:kern w:val="0"/>
                <w:sz w:val="28"/>
                <w:szCs w:val="28"/>
                <w:vertAlign w:val="baseline"/>
                <w:lang w:val="en-US" w:eastAsia="zh-CN"/>
              </w:rPr>
              <w:t>重点领域</w:t>
            </w:r>
          </w:p>
        </w:tc>
        <w:tc>
          <w:tcPr>
            <w:tcW w:w="6485" w:type="dxa"/>
          </w:tcPr>
          <w:p>
            <w:pPr>
              <w:jc w:val="center"/>
              <w:rPr>
                <w:rFonts w:hint="eastAsia" w:ascii="仿宋" w:hAnsi="仿宋" w:eastAsia="仿宋" w:cs="仿宋"/>
                <w:b/>
                <w:bCs w:val="0"/>
                <w:kern w:val="0"/>
                <w:sz w:val="28"/>
                <w:szCs w:val="28"/>
                <w:vertAlign w:val="baseline"/>
                <w:lang w:val="en-US" w:eastAsia="zh-CN"/>
              </w:rPr>
            </w:pPr>
            <w:r>
              <w:rPr>
                <w:rFonts w:hint="eastAsia" w:ascii="仿宋" w:hAnsi="仿宋" w:eastAsia="仿宋" w:cs="仿宋"/>
                <w:b/>
                <w:bCs w:val="0"/>
                <w:kern w:val="0"/>
                <w:sz w:val="28"/>
                <w:szCs w:val="28"/>
                <w:vertAlign w:val="baseline"/>
                <w:lang w:val="en-US" w:eastAsia="zh-CN"/>
              </w:rPr>
              <w:t>具体内容</w:t>
            </w:r>
          </w:p>
        </w:tc>
        <w:tc>
          <w:tcPr>
            <w:tcW w:w="4656" w:type="dxa"/>
          </w:tcPr>
          <w:p>
            <w:pPr>
              <w:jc w:val="center"/>
              <w:rPr>
                <w:rFonts w:hint="eastAsia" w:ascii="仿宋" w:hAnsi="仿宋" w:eastAsia="仿宋" w:cs="仿宋"/>
                <w:b/>
                <w:bCs w:val="0"/>
                <w:kern w:val="0"/>
                <w:sz w:val="28"/>
                <w:szCs w:val="28"/>
                <w:vertAlign w:val="baseline"/>
                <w:lang w:val="en-US" w:eastAsia="zh-CN"/>
              </w:rPr>
            </w:pPr>
            <w:r>
              <w:rPr>
                <w:rFonts w:hint="eastAsia" w:ascii="仿宋" w:hAnsi="仿宋" w:eastAsia="仿宋" w:cs="仿宋"/>
                <w:b/>
                <w:bCs w:val="0"/>
                <w:kern w:val="0"/>
                <w:sz w:val="28"/>
                <w:szCs w:val="28"/>
                <w:vertAlign w:val="baseline"/>
                <w:lang w:val="en-US"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一、安全知识培训情况</w:t>
            </w: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1.校园消防相关管理办法</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2.线上开展安全知识教育材料（微信公众号等新媒体）</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3.线下开展安全知识教育材料（海报、专家讲座）</w:t>
            </w:r>
          </w:p>
        </w:tc>
        <w:tc>
          <w:tcPr>
            <w:tcW w:w="4656" w:type="dxa"/>
            <w:vAlign w:val="center"/>
          </w:tcPr>
          <w:p>
            <w:pPr>
              <w:jc w:val="center"/>
              <w:rPr>
                <w:rFonts w:hint="eastAsia" w:ascii="仿宋" w:hAnsi="仿宋" w:eastAsia="仿宋" w:cs="仿宋"/>
                <w:bCs/>
                <w:kern w:val="0"/>
                <w:sz w:val="24"/>
                <w:szCs w:val="24"/>
                <w:vertAlign w:val="baseline"/>
                <w:lang w:val="en-US" w:eastAsia="zh-CN" w:bidi="ar-SA"/>
              </w:rPr>
            </w:pPr>
            <w:r>
              <w:rPr>
                <w:rFonts w:hint="eastAsia" w:ascii="仿宋" w:hAnsi="仿宋" w:eastAsia="仿宋" w:cs="仿宋"/>
                <w:bCs/>
                <w:kern w:val="0"/>
                <w:sz w:val="24"/>
                <w:szCs w:val="24"/>
                <w:vertAlign w:val="baseline"/>
                <w:lang w:val="en-US" w:eastAsia="zh-CN"/>
              </w:rPr>
              <w:t>保卫处、学生处、各学院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4.联合各学院、党支部及学生组织共同制作和张贴消防安全提醒海报，宣传近年来高校公寓消防安全典型事故案例</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5.严查各类违规行为，严肃处理并进行全校通报</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保卫处、学生处、各学院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二、应急预案演练情况</w:t>
            </w: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6.与公安消防部门开展线上合作，根据学生宿舍楼实际情况，制定科学、合理的应急疏散方法与应急救援预案</w:t>
            </w:r>
          </w:p>
        </w:tc>
        <w:tc>
          <w:tcPr>
            <w:tcW w:w="4656"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保卫处、学生处、总务部、各学院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7.通过线上会议、线下宣传手册、张贴海报等方式，以宿舍楼为单位，宣传消防设备使用方法、宿舍逃生通道地图等应急自救措施</w:t>
            </w:r>
          </w:p>
        </w:tc>
        <w:tc>
          <w:tcPr>
            <w:tcW w:w="4656"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保卫处、学生处、总务部、各学院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8.应急防控救援物资与医疗设备保障情况</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总务部、校医院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9.加强公寓内部区域监控与校园安保训练，实现在事故发生的第一时间内快速发现危险，有序疏散学生，科学救治学生</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三、校园网格管理情况</w:t>
            </w: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10.引入和健全网格化安全管理体系，联合宿管、后勤等部门，在各学院各年级各班级设置专任网格员，对校内宿舍楼进行分区、分片管理</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总务部、保卫处、各学院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11.定时检查宿舍用电、学生使用电器、宿舍楼内逃生出口、校园消防安全设施等相关情况</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各学院、总务部、保卫处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12.各级网格员应划清消防安全责任范围，尽可能实现责任到人，充分完善校园消防安全管理体系</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各学院、总务部、保卫处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13.扩大学生的意见反馈渠道，快速发现消防安全隐患，积极解决学生公寓潜在问题</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各学院、总务部、保卫处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四、保卫机构设置和保卫人员配置情况</w:t>
            </w: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14.安全管理机构的设立情况，是否明确专人负责本单位(部门)安全管理工作</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15.治安保卫机构、人员配备按照标准不低(3%)</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16.在30天内向主管公安机关备案</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17.开展安全管理人员、保安员、建筑消防设施操作人员等职业技能培训</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五、应急处置情况</w:t>
            </w: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18.主要检查重大自然灾害、群体性事件、重大安全事故等各类突发事件应急处理工作预案</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党政办、保卫处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vAlign w:val="center"/>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19.定期进行应急预案的培训和演练</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vAlign w:val="center"/>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20.组建处置突发事件的应急快速反应队伍</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vAlign w:val="center"/>
          </w:tcPr>
          <w:p>
            <w:pPr>
              <w:jc w:val="center"/>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21.做好各类突发事件应急处理的物资准备</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六、技防实施安装情况</w:t>
            </w: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22.主要检查门卫室、监控室、宿舍值班室一键报警</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23.校园围墙等周界设施上设置防攀爬装置</w:t>
            </w:r>
          </w:p>
        </w:tc>
        <w:tc>
          <w:tcPr>
            <w:tcW w:w="4656" w:type="dxa"/>
            <w:vAlign w:val="center"/>
          </w:tcPr>
          <w:p>
            <w:pPr>
              <w:jc w:val="center"/>
              <w:rPr>
                <w:rFonts w:hint="eastAsia" w:ascii="仿宋" w:hAnsi="仿宋" w:eastAsia="仿宋" w:cs="仿宋"/>
                <w:bCs/>
                <w:kern w:val="0"/>
                <w:sz w:val="24"/>
                <w:szCs w:val="24"/>
                <w:highlight w:val="none"/>
                <w:vertAlign w:val="baseline"/>
                <w:lang w:val="en-US" w:eastAsia="zh-CN"/>
              </w:rPr>
            </w:pPr>
            <w:r>
              <w:rPr>
                <w:rFonts w:hint="eastAsia" w:ascii="仿宋" w:hAnsi="仿宋" w:eastAsia="仿宋" w:cs="仿宋"/>
                <w:bCs/>
                <w:kern w:val="0"/>
                <w:sz w:val="24"/>
                <w:szCs w:val="24"/>
                <w:highlight w:val="none"/>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24.建立集中管理的监控中心，校园监控中心满足视频图像保存时间30天以上</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25.安全技术防范系统配置备用电源、保证24小时值班</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26.安全技术防范系统出现故障后48小时内修复或在系统恢复前采取有效的应急防范措施</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27.校园主干道及主要出入口等处设置机动车辆减速装置或防车辆冲击设施</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七、五必查五必须</w:t>
            </w: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28.消防控制室必查、消防水泵房必查、消防车通道必查、灭火和应急预案必查、微型消防站战斗力必查</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29.消防安全责任人、管理人必须在位履职，重大火灾隐患必须按期整改销案或落实临时性防范措施，全体员工特别是新入职员工必须进行一次培训，消防设施器材必须保持完整好用，校园安全专班负责人必须在岗在位</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保卫处、总务部、各学院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restart"/>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八、重点环节检查</w:t>
            </w: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30.是否完善消防安全管理制度，健全工作机制，加强学校消防安全标准化管理</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2" w:hRule="atLeast"/>
        </w:trPr>
        <w:tc>
          <w:tcPr>
            <w:tcW w:w="2917" w:type="dxa"/>
            <w:vMerge w:val="continue"/>
            <w:vAlign w:val="center"/>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31.辅导员、宿管员、学生组织等对公寓安全开展多轮“拉网式”消防安全检查、常态化检查、不定时抽查等工作台账记录是否强化日常督导检查</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学生处、总务部、各学院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vAlign w:val="center"/>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32.现场重点抽查学生宿舍违规使用大功率电器、使用明火、电瓶上楼充电等危险行为</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vAlign w:val="center"/>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33.总务部、后勤部、宿管等部门开展对公寓老旧电路等重点问题的安全隐患排查，并及时上报反馈，以便进行快速处理和更换</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总务部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2917" w:type="dxa"/>
            <w:vMerge w:val="continue"/>
          </w:tcPr>
          <w:p>
            <w:pPr>
              <w:jc w:val="both"/>
              <w:rPr>
                <w:rFonts w:hint="eastAsia" w:ascii="仿宋" w:hAnsi="仿宋" w:eastAsia="仿宋" w:cs="仿宋"/>
                <w:bCs/>
                <w:kern w:val="0"/>
                <w:sz w:val="24"/>
                <w:szCs w:val="24"/>
                <w:vertAlign w:val="baseline"/>
                <w:lang w:val="en-US" w:eastAsia="zh-CN"/>
              </w:rPr>
            </w:pPr>
          </w:p>
        </w:tc>
        <w:tc>
          <w:tcPr>
            <w:tcW w:w="6485" w:type="dxa"/>
            <w:vAlign w:val="center"/>
          </w:tcPr>
          <w:p>
            <w:pPr>
              <w:jc w:val="left"/>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34.规范各类消防设施的使用与管理，保障事故灾害发生时消防设施的正确有效使用</w:t>
            </w:r>
          </w:p>
        </w:tc>
        <w:tc>
          <w:tcPr>
            <w:tcW w:w="4656" w:type="dxa"/>
            <w:vAlign w:val="center"/>
          </w:tcPr>
          <w:p>
            <w:pPr>
              <w:jc w:val="center"/>
              <w:rPr>
                <w:rFonts w:hint="eastAsia" w:ascii="仿宋" w:hAnsi="仿宋" w:eastAsia="仿宋" w:cs="仿宋"/>
                <w:bCs/>
                <w:kern w:val="0"/>
                <w:sz w:val="24"/>
                <w:szCs w:val="24"/>
                <w:vertAlign w:val="baseline"/>
                <w:lang w:val="en-US" w:eastAsia="zh-CN"/>
              </w:rPr>
            </w:pPr>
            <w:r>
              <w:rPr>
                <w:rFonts w:hint="eastAsia" w:ascii="仿宋" w:hAnsi="仿宋" w:eastAsia="仿宋" w:cs="仿宋"/>
                <w:bCs/>
                <w:kern w:val="0"/>
                <w:sz w:val="24"/>
                <w:szCs w:val="24"/>
                <w:vertAlign w:val="baseline"/>
                <w:lang w:val="en-US" w:eastAsia="zh-CN"/>
              </w:rPr>
              <w:t>保卫处</w:t>
            </w:r>
          </w:p>
        </w:tc>
      </w:tr>
    </w:tbl>
    <w:p>
      <w:pPr>
        <w:rPr>
          <w:rFonts w:hint="eastAsia" w:ascii="仿宋" w:hAnsi="仿宋" w:eastAsia="仿宋" w:cs="仿宋"/>
          <w:bCs/>
          <w:kern w:val="0"/>
          <w:sz w:val="24"/>
          <w:szCs w:val="24"/>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 w:eastAsia="仿宋_GB2312" w:cs="仿宋"/>
          <w:sz w:val="32"/>
          <w:szCs w:val="32"/>
          <w:highlight w:val="none"/>
          <w:lang w:val="en-US" w:eastAsia="zh-CN"/>
        </w:rPr>
      </w:pPr>
      <w:r>
        <w:rPr>
          <w:rFonts w:hint="eastAsia" w:ascii="仿宋_GB2312" w:hAnsi="仿宋" w:eastAsia="仿宋_GB2312" w:cs="仿宋"/>
          <w:sz w:val="32"/>
          <w:szCs w:val="32"/>
          <w:highlight w:val="none"/>
          <w:lang w:val="en-US" w:eastAsia="zh-CN"/>
        </w:rPr>
        <w:t>附件2</w:t>
      </w:r>
    </w:p>
    <w:tbl>
      <w:tblPr>
        <w:tblStyle w:val="2"/>
        <w:tblW w:w="112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0"/>
        <w:gridCol w:w="1110"/>
        <w:gridCol w:w="1110"/>
        <w:gridCol w:w="2643"/>
        <w:gridCol w:w="1877"/>
        <w:gridCol w:w="1877"/>
        <w:gridCol w:w="14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1220" w:type="dxa"/>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单位安全员信息表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 w:hRule="atLeast"/>
        </w:trPr>
        <w:tc>
          <w:tcPr>
            <w:tcW w:w="0" w:type="auto"/>
            <w:gridSpan w:val="7"/>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单位（盖章）：                              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职务（职称）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办公地点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办公电话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2" w:hRule="atLeast"/>
        </w:trPr>
        <w:tc>
          <w:tcPr>
            <w:tcW w:w="11220"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说明：请各单位明确一名单位安全员，应熟悉本单位基本情况，具备安全管理基本知识和能力，</w:t>
            </w:r>
            <w:r>
              <w:rPr>
                <w:rStyle w:val="8"/>
                <w:lang w:val="en-US" w:eastAsia="zh-CN" w:bidi="ar"/>
              </w:rPr>
              <w:t>应由本单位办公室负责人兼任。</w:t>
            </w:r>
            <w:r>
              <w:rPr>
                <w:rFonts w:hint="eastAsia" w:ascii="宋体" w:hAnsi="宋体" w:eastAsia="宋体" w:cs="宋体"/>
                <w:i w:val="0"/>
                <w:iCs w:val="0"/>
                <w:color w:val="000000"/>
                <w:kern w:val="0"/>
                <w:sz w:val="20"/>
                <w:szCs w:val="20"/>
                <w:u w:val="none"/>
                <w:lang w:val="en-US" w:eastAsia="zh-CN" w:bidi="ar"/>
              </w:rPr>
              <w:t xml:space="preserve"> </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 w:eastAsia="仿宋_GB2312" w:cs="仿宋"/>
          <w:sz w:val="32"/>
          <w:szCs w:val="32"/>
          <w:highlight w:val="none"/>
          <w:lang w:val="en-US" w:eastAsia="zh-CN"/>
        </w:rPr>
      </w:pPr>
    </w:p>
    <w:tbl>
      <w:tblPr>
        <w:tblStyle w:val="2"/>
        <w:tblW w:w="13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0"/>
        <w:gridCol w:w="1856"/>
        <w:gridCol w:w="780"/>
        <w:gridCol w:w="780"/>
        <w:gridCol w:w="1856"/>
        <w:gridCol w:w="1318"/>
        <w:gridCol w:w="3327"/>
        <w:gridCol w:w="26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7" w:hRule="atLeast"/>
        </w:trPr>
        <w:tc>
          <w:tcPr>
            <w:tcW w:w="13340"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重点部位安全员信息表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单位（盖章）：                              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重点部位名称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职务（职称）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办公地点</w:t>
            </w: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办公电话</w:t>
            </w: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97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36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7" w:hRule="atLeast"/>
        </w:trPr>
        <w:tc>
          <w:tcPr>
            <w:tcW w:w="13340" w:type="dxa"/>
            <w:gridSpan w:val="8"/>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sz w:val="22"/>
                <w:szCs w:val="22"/>
                <w:u w:val="none"/>
                <w:lang w:val="en-US" w:eastAsia="zh-CN"/>
              </w:rPr>
              <w:t>说明：重点部位安全员由各单位根据《中国矿业大学消防安全管理办法（修订）》第三章第十四条规定，结合实际情况明确。</w:t>
            </w: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 w:eastAsia="仿宋_GB2312" w:cs="仿宋"/>
          <w:sz w:val="32"/>
          <w:szCs w:val="32"/>
          <w:highlight w:val="none"/>
          <w:lang w:val="en-US" w:eastAsia="zh-CN"/>
        </w:rPr>
      </w:pPr>
    </w:p>
    <w:tbl>
      <w:tblPr>
        <w:tblStyle w:val="2"/>
        <w:tblW w:w="1016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51"/>
        <w:gridCol w:w="1617"/>
        <w:gridCol w:w="1235"/>
        <w:gridCol w:w="1919"/>
        <w:gridCol w:w="2428"/>
        <w:gridCol w:w="2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9" w:hRule="atLeast"/>
        </w:trPr>
        <w:tc>
          <w:tcPr>
            <w:tcW w:w="101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班级安全委员信息表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0167" w:type="dxa"/>
            <w:gridSpan w:val="6"/>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单位（盖章）：                              分管领导签字：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性别</w:t>
            </w: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学号</w:t>
            </w: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所负责班级</w:t>
            </w: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851"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p>
        </w:tc>
        <w:tc>
          <w:tcPr>
            <w:tcW w:w="16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235"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1919"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42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c>
          <w:tcPr>
            <w:tcW w:w="2117"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 w:eastAsia="仿宋_GB2312" w:cs="仿宋"/>
          <w:sz w:val="32"/>
          <w:szCs w:val="32"/>
          <w:highlight w:val="none"/>
          <w:lang w:val="en-US" w:eastAsia="zh-CN"/>
        </w:rPr>
      </w:pPr>
    </w:p>
    <w:tbl>
      <w:tblPr>
        <w:tblStyle w:val="2"/>
        <w:tblW w:w="73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736"/>
        <w:gridCol w:w="2000"/>
        <w:gridCol w:w="2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320" w:type="dxa"/>
            <w:gridSpan w:val="3"/>
            <w:tcBorders>
              <w:top w:val="single" w:color="auto" w:sz="4" w:space="0"/>
              <w:left w:val="single" w:color="auto" w:sz="4" w:space="0"/>
              <w:bottom w:val="nil"/>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36"/>
                <w:szCs w:val="36"/>
                <w:u w:val="none"/>
              </w:rPr>
            </w:pPr>
            <w:r>
              <w:rPr>
                <w:rFonts w:hint="eastAsia" w:ascii="宋体" w:hAnsi="宋体" w:eastAsia="宋体" w:cs="宋体"/>
                <w:b/>
                <w:bCs/>
                <w:i w:val="0"/>
                <w:iCs w:val="0"/>
                <w:color w:val="000000"/>
                <w:kern w:val="0"/>
                <w:sz w:val="36"/>
                <w:szCs w:val="36"/>
                <w:u w:val="none"/>
                <w:lang w:val="en-US" w:eastAsia="zh-CN" w:bidi="ar"/>
              </w:rPr>
              <w:t>各单位现场检查联络人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2736" w:type="dxa"/>
            <w:tcBorders>
              <w:top w:val="single" w:color="000000" w:sz="8" w:space="0"/>
              <w:left w:val="single" w:color="auto" w:sz="4" w:space="0"/>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单位</w:t>
            </w:r>
          </w:p>
        </w:tc>
        <w:tc>
          <w:tcPr>
            <w:tcW w:w="2000" w:type="dxa"/>
            <w:tcBorders>
              <w:top w:val="single" w:color="000000" w:sz="8" w:space="0"/>
              <w:left w:val="nil"/>
              <w:bottom w:val="single" w:color="000000" w:sz="8" w:space="0"/>
              <w:right w:val="single" w:color="000000" w:sz="8"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姓名</w:t>
            </w:r>
          </w:p>
        </w:tc>
        <w:tc>
          <w:tcPr>
            <w:tcW w:w="2584" w:type="dxa"/>
            <w:tcBorders>
              <w:top w:val="single" w:color="000000" w:sz="8" w:space="0"/>
              <w:left w:val="nil"/>
              <w:bottom w:val="single" w:color="000000" w:sz="8" w:space="0"/>
              <w:right w:val="single" w:color="auto" w:sz="4" w:space="0"/>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手机号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36" w:type="dxa"/>
            <w:tcBorders>
              <w:top w:val="nil"/>
              <w:left w:val="single" w:color="auto" w:sz="4" w:space="0"/>
              <w:bottom w:val="single" w:color="000000" w:sz="8"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000" w:type="dxa"/>
            <w:tcBorders>
              <w:top w:val="nil"/>
              <w:left w:val="nil"/>
              <w:bottom w:val="single" w:color="000000" w:sz="8"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584" w:type="dxa"/>
            <w:tcBorders>
              <w:top w:val="nil"/>
              <w:left w:val="nil"/>
              <w:bottom w:val="single" w:color="000000" w:sz="8" w:space="0"/>
              <w:right w:val="single" w:color="auto" w:sz="4"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2736" w:type="dxa"/>
            <w:tcBorders>
              <w:top w:val="nil"/>
              <w:left w:val="single" w:color="auto" w:sz="4" w:space="0"/>
              <w:bottom w:val="single" w:color="000000" w:sz="8"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000" w:type="dxa"/>
            <w:tcBorders>
              <w:top w:val="nil"/>
              <w:left w:val="nil"/>
              <w:bottom w:val="single" w:color="000000" w:sz="8"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584" w:type="dxa"/>
            <w:tcBorders>
              <w:top w:val="nil"/>
              <w:left w:val="nil"/>
              <w:bottom w:val="single" w:color="000000" w:sz="8" w:space="0"/>
              <w:right w:val="single" w:color="auto" w:sz="4"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2736" w:type="dxa"/>
            <w:tcBorders>
              <w:top w:val="nil"/>
              <w:left w:val="single" w:color="auto" w:sz="4" w:space="0"/>
              <w:bottom w:val="single" w:color="auto" w:sz="4"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000" w:type="dxa"/>
            <w:tcBorders>
              <w:top w:val="nil"/>
              <w:left w:val="nil"/>
              <w:bottom w:val="single" w:color="auto" w:sz="4" w:space="0"/>
              <w:right w:val="single" w:color="000000" w:sz="8"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c>
          <w:tcPr>
            <w:tcW w:w="2584" w:type="dxa"/>
            <w:tcBorders>
              <w:top w:val="nil"/>
              <w:left w:val="nil"/>
              <w:bottom w:val="single" w:color="auto" w:sz="4" w:space="0"/>
              <w:right w:val="single" w:color="auto" w:sz="4" w:space="0"/>
            </w:tcBorders>
            <w:shd w:val="clear" w:color="auto" w:fill="auto"/>
            <w:noWrap/>
            <w:vAlign w:val="bottom"/>
          </w:tcPr>
          <w:p>
            <w:pPr>
              <w:jc w:val="both"/>
              <w:rPr>
                <w:rFonts w:hint="eastAsia" w:ascii="宋体" w:hAnsi="宋体" w:eastAsia="宋体" w:cs="宋体"/>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 w:eastAsia="仿宋_GB2312" w:cs="仿宋"/>
          <w:sz w:val="32"/>
          <w:szCs w:val="32"/>
          <w:highlight w:val="none"/>
          <w:lang w:val="en-US" w:eastAsia="zh-CN"/>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C34155"/>
    <w:rsid w:val="135F3DFA"/>
    <w:rsid w:val="1B5956E7"/>
    <w:rsid w:val="1D3E783E"/>
    <w:rsid w:val="20C51426"/>
    <w:rsid w:val="26C34155"/>
    <w:rsid w:val="320B662D"/>
    <w:rsid w:val="32691157"/>
    <w:rsid w:val="5CAF6BD6"/>
    <w:rsid w:val="6028527E"/>
    <w:rsid w:val="605E1757"/>
    <w:rsid w:val="6FB64173"/>
    <w:rsid w:val="7E266A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eastAsia" w:ascii="宋体" w:hAnsi="宋体" w:eastAsia="宋体" w:cs="宋体"/>
      <w:color w:val="000000"/>
      <w:sz w:val="20"/>
      <w:szCs w:val="20"/>
      <w:u w:val="none"/>
    </w:rPr>
  </w:style>
  <w:style w:type="character" w:customStyle="1" w:styleId="6">
    <w:name w:val="font51"/>
    <w:basedOn w:val="4"/>
    <w:qFormat/>
    <w:uiPriority w:val="0"/>
    <w:rPr>
      <w:rFonts w:hint="eastAsia" w:ascii="宋体" w:hAnsi="宋体" w:eastAsia="宋体" w:cs="宋体"/>
      <w:b/>
      <w:bCs/>
      <w:color w:val="000000"/>
      <w:sz w:val="20"/>
      <w:szCs w:val="20"/>
      <w:u w:val="none"/>
    </w:rPr>
  </w:style>
  <w:style w:type="character" w:customStyle="1" w:styleId="7">
    <w:name w:val="font41"/>
    <w:basedOn w:val="4"/>
    <w:qFormat/>
    <w:uiPriority w:val="0"/>
    <w:rPr>
      <w:rFonts w:hint="eastAsia" w:ascii="宋体" w:hAnsi="宋体" w:eastAsia="宋体" w:cs="宋体"/>
      <w:color w:val="000000"/>
      <w:sz w:val="20"/>
      <w:szCs w:val="20"/>
      <w:u w:val="none"/>
    </w:rPr>
  </w:style>
  <w:style w:type="character" w:customStyle="1" w:styleId="8">
    <w:name w:val="font31"/>
    <w:basedOn w:val="4"/>
    <w:uiPriority w:val="0"/>
    <w:rPr>
      <w:rFonts w:hint="eastAsia" w:ascii="宋体" w:hAnsi="宋体" w:eastAsia="宋体" w:cs="宋体"/>
      <w:b/>
      <w:bCs/>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2664</Words>
  <Characters>2797</Characters>
  <Lines>0</Lines>
  <Paragraphs>0</Paragraphs>
  <TotalTime>7</TotalTime>
  <ScaleCrop>false</ScaleCrop>
  <LinksUpToDate>false</LinksUpToDate>
  <CharactersWithSpaces>2922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2022-04-27T02:30:00Z</dcterms:created>
  <dc:creator>王锐</dc:creator>
  <cp:lastModifiedBy>王锐</cp:lastModifiedBy>
  <dcterms:modified xsi:type="dcterms:W3CDTF">2022-04-29T03:11:35Z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988D7A1257A548858C6D4A4A9BBCAF05</vt:lpwstr>
  </property>
  <property fmtid="{D5CDD505-2E9C-101B-9397-08002B2CF9AE}" pid="4" name="commondata">
    <vt:lpwstr>eyJoZGlkIjoiNDM4Mzk5YjdmNWI3ZThhMDJhZWQ2YTg5OTAzZDE2MGQifQ==</vt:lpwstr>
  </property>
</Properties>
</file>